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00A98">
      <w:pPr>
        <w:pStyle w:val="2"/>
        <w:numPr>
          <w:ilvl w:val="0"/>
          <w:numId w:val="0"/>
        </w:numPr>
        <w:shd w:val="clear" w:color="auto" w:fill="auto"/>
        <w:spacing w:before="0" w:after="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惠州市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惠城区中医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医院污水处理站运行管理</w:t>
      </w:r>
    </w:p>
    <w:p w14:paraId="5B2076F5">
      <w:pPr>
        <w:pStyle w:val="2"/>
        <w:numPr>
          <w:ilvl w:val="0"/>
          <w:numId w:val="0"/>
        </w:numPr>
        <w:shd w:val="clear" w:color="auto" w:fill="auto"/>
        <w:spacing w:before="0" w:after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服务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项目需求</w:t>
      </w:r>
    </w:p>
    <w:p w14:paraId="7584B2E5">
      <w:pPr>
        <w:pStyle w:val="2"/>
        <w:numPr>
          <w:ilvl w:val="0"/>
          <w:numId w:val="0"/>
        </w:numPr>
        <w:shd w:val="clear" w:color="auto" w:fill="auto"/>
        <w:spacing w:before="0" w:after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2A3743BE">
      <w:pPr>
        <w:pStyle w:val="2"/>
        <w:numPr>
          <w:ilvl w:val="0"/>
          <w:numId w:val="0"/>
        </w:numPr>
        <w:shd w:val="clear" w:color="auto" w:fill="auto"/>
        <w:spacing w:before="0" w:after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项目概况及服务内容</w:t>
      </w:r>
    </w:p>
    <w:p w14:paraId="7C721E7D">
      <w:pPr>
        <w:pStyle w:val="2"/>
        <w:numPr>
          <w:ilvl w:val="0"/>
          <w:numId w:val="0"/>
        </w:numPr>
        <w:shd w:val="clear" w:color="auto" w:fill="auto"/>
        <w:spacing w:before="0" w:after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（一）项目概况</w:t>
      </w:r>
    </w:p>
    <w:p w14:paraId="75FD9DBC">
      <w:pPr>
        <w:pStyle w:val="6"/>
        <w:shd w:val="clear" w:color="auto" w:fill="auto"/>
        <w:spacing w:before="43" w:line="360" w:lineRule="auto"/>
        <w:ind w:right="355" w:firstLine="620" w:firstLineChars="200"/>
        <w:jc w:val="both"/>
        <w:rPr>
          <w:rFonts w:hint="eastAsia" w:ascii="仿宋" w:hAnsi="仿宋" w:eastAsia="仿宋" w:cs="仿宋"/>
          <w:b w:val="0"/>
          <w:bCs w:val="0"/>
          <w:spacing w:val="-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5"/>
          <w:sz w:val="32"/>
          <w:szCs w:val="32"/>
        </w:rPr>
        <w:t>惠州市惠城区中医医院位于惠州市惠城区桥西街道麦兴路33号，</w:t>
      </w:r>
      <w:r>
        <w:rPr>
          <w:rFonts w:hint="eastAsia" w:ascii="仿宋" w:hAnsi="仿宋" w:eastAsia="仿宋" w:cs="仿宋"/>
          <w:b w:val="0"/>
          <w:bCs w:val="0"/>
          <w:spacing w:val="-5"/>
          <w:sz w:val="32"/>
          <w:szCs w:val="32"/>
          <w:lang w:val="en-US" w:eastAsia="zh-CN"/>
        </w:rPr>
        <w:t>是惠城区唯一的二级甲等中医医院。医院设有康复科、妇科、内科、外科等一级临床科室8个，其中区级中医重点专科2个；设有4个住院病区，开放床位90张。</w:t>
      </w:r>
    </w:p>
    <w:p w14:paraId="21934485">
      <w:pPr>
        <w:pStyle w:val="6"/>
        <w:shd w:val="clear" w:color="auto" w:fill="auto"/>
        <w:spacing w:before="43" w:line="360" w:lineRule="auto"/>
        <w:ind w:right="355" w:firstLine="62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b w:val="0"/>
          <w:bCs w:val="0"/>
          <w:spacing w:val="-5"/>
          <w:sz w:val="32"/>
          <w:szCs w:val="32"/>
        </w:rPr>
        <w:t xml:space="preserve">污水站设计处理规模为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0</w:t>
      </w:r>
      <w:r>
        <w:rPr>
          <w:rFonts w:hint="eastAsia" w:ascii="仿宋" w:hAnsi="仿宋" w:eastAsia="仿宋" w:cs="仿宋"/>
          <w:b w:val="0"/>
          <w:bCs w:val="0"/>
          <w:spacing w:val="-3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m³/d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日污水排放量约为80m³/d。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</w:rPr>
        <w:t>主体工艺流程为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</w:rPr>
        <w:t>污水→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集水池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</w:rPr>
        <w:t>→格栅池→调节池→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水解酸化池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</w:rPr>
        <w:t>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生物接触氧化池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</w:rPr>
        <w:t>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沉淀池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shd w:val="clear" w:color="auto" w:fill="auto"/>
        </w:rPr>
        <w:t>→消毒池→达标排放。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288"/>
      </w:tblGrid>
      <w:tr w14:paraId="6845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88" w:type="dxa"/>
            <w:noWrap w:val="0"/>
            <w:vAlign w:val="top"/>
          </w:tcPr>
          <w:p w14:paraId="43B09041">
            <w:pPr>
              <w:pStyle w:val="6"/>
              <w:shd w:val="clear" w:color="auto" w:fill="auto"/>
              <w:spacing w:before="43" w:line="360" w:lineRule="auto"/>
              <w:ind w:right="355"/>
              <w:jc w:val="both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114300" distR="114300">
                  <wp:extent cx="4187825" cy="3103880"/>
                  <wp:effectExtent l="0" t="0" r="3175" b="127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7825" cy="310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BA562A">
      <w:pPr>
        <w:pStyle w:val="6"/>
        <w:shd w:val="clear" w:color="auto" w:fill="auto"/>
        <w:spacing w:line="360" w:lineRule="auto"/>
        <w:ind w:right="358"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医疗废水处理为一项专业技术，对操作人员技术水平要求较高，方能确保废水处理稳定达标排放，同时环保部门也建议专业单位运营处理。为了响应环保政策及提高处理效果，进一步减少对环境的污染，采购人拟通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院内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采购一家专业单位运营操作管理。</w:t>
      </w:r>
    </w:p>
    <w:p w14:paraId="5FDDA2D4">
      <w:pPr>
        <w:pStyle w:val="6"/>
        <w:numPr>
          <w:numId w:val="0"/>
        </w:numPr>
        <w:shd w:val="clear" w:color="auto" w:fill="auto"/>
        <w:spacing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服务内容</w:t>
      </w:r>
    </w:p>
    <w:tbl>
      <w:tblPr>
        <w:tblStyle w:val="7"/>
        <w:tblW w:w="0" w:type="auto"/>
        <w:tblInd w:w="1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10"/>
        <w:gridCol w:w="774"/>
        <w:gridCol w:w="931"/>
        <w:gridCol w:w="1577"/>
        <w:gridCol w:w="1965"/>
      </w:tblGrid>
      <w:tr w14:paraId="2D373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3310" w:type="dxa"/>
            <w:noWrap w:val="0"/>
            <w:vAlign w:val="center"/>
          </w:tcPr>
          <w:p w14:paraId="15B4CF02">
            <w:pPr>
              <w:pStyle w:val="13"/>
              <w:shd w:val="clear" w:color="auto" w:fill="auto"/>
              <w:spacing w:line="360" w:lineRule="auto"/>
              <w:ind w:left="162" w:right="15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服务内容</w:t>
            </w:r>
          </w:p>
        </w:tc>
        <w:tc>
          <w:tcPr>
            <w:tcW w:w="774" w:type="dxa"/>
            <w:noWrap w:val="0"/>
            <w:vAlign w:val="center"/>
          </w:tcPr>
          <w:p w14:paraId="581A72A4">
            <w:pPr>
              <w:pStyle w:val="13"/>
              <w:shd w:val="clear" w:color="auto" w:fill="auto"/>
              <w:spacing w:line="360" w:lineRule="auto"/>
              <w:ind w:left="162" w:right="15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数量</w:t>
            </w:r>
          </w:p>
        </w:tc>
        <w:tc>
          <w:tcPr>
            <w:tcW w:w="931" w:type="dxa"/>
            <w:noWrap w:val="0"/>
            <w:vAlign w:val="center"/>
          </w:tcPr>
          <w:p w14:paraId="2AA77EDB">
            <w:pPr>
              <w:pStyle w:val="13"/>
              <w:shd w:val="clear" w:color="auto" w:fill="auto"/>
              <w:spacing w:line="360" w:lineRule="auto"/>
              <w:ind w:left="162" w:right="15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单位</w:t>
            </w:r>
          </w:p>
        </w:tc>
        <w:tc>
          <w:tcPr>
            <w:tcW w:w="1577" w:type="dxa"/>
            <w:noWrap w:val="0"/>
            <w:vAlign w:val="center"/>
          </w:tcPr>
          <w:p w14:paraId="2F1DFD8C">
            <w:pPr>
              <w:pStyle w:val="13"/>
              <w:shd w:val="clear" w:color="auto" w:fill="auto"/>
              <w:spacing w:line="360" w:lineRule="auto"/>
              <w:ind w:left="162" w:right="155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最高限价（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eastAsia="zh-CN"/>
              </w:rPr>
              <w:t>万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元）</w:t>
            </w:r>
          </w:p>
        </w:tc>
        <w:tc>
          <w:tcPr>
            <w:tcW w:w="1965" w:type="dxa"/>
            <w:noWrap w:val="0"/>
            <w:vAlign w:val="center"/>
          </w:tcPr>
          <w:p w14:paraId="193D9369">
            <w:pPr>
              <w:pStyle w:val="13"/>
              <w:shd w:val="clear" w:color="auto" w:fill="auto"/>
              <w:spacing w:line="360" w:lineRule="auto"/>
              <w:ind w:left="162" w:right="15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服务期限</w:t>
            </w:r>
          </w:p>
        </w:tc>
      </w:tr>
      <w:tr w14:paraId="5A5C1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310" w:type="dxa"/>
            <w:noWrap w:val="0"/>
            <w:vAlign w:val="center"/>
          </w:tcPr>
          <w:p w14:paraId="01626A0D">
            <w:pPr>
              <w:pStyle w:val="13"/>
              <w:shd w:val="clear" w:color="auto" w:fill="auto"/>
              <w:spacing w:before="22" w:line="360" w:lineRule="auto"/>
              <w:ind w:left="162" w:right="158"/>
              <w:jc w:val="center"/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  <w:t>惠州市惠城区中医医院污水处理站运营管理</w:t>
            </w:r>
          </w:p>
        </w:tc>
        <w:tc>
          <w:tcPr>
            <w:tcW w:w="774" w:type="dxa"/>
            <w:noWrap w:val="0"/>
            <w:vAlign w:val="center"/>
          </w:tcPr>
          <w:p w14:paraId="1F6D1DD7">
            <w:pPr>
              <w:pStyle w:val="13"/>
              <w:shd w:val="clear" w:color="auto" w:fill="auto"/>
              <w:spacing w:before="22" w:line="360" w:lineRule="auto"/>
              <w:ind w:left="162" w:right="158"/>
              <w:jc w:val="center"/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  <w:t>1</w:t>
            </w:r>
          </w:p>
        </w:tc>
        <w:tc>
          <w:tcPr>
            <w:tcW w:w="931" w:type="dxa"/>
            <w:noWrap w:val="0"/>
            <w:vAlign w:val="center"/>
          </w:tcPr>
          <w:p w14:paraId="04013EF0">
            <w:pPr>
              <w:pStyle w:val="13"/>
              <w:shd w:val="clear" w:color="auto" w:fill="auto"/>
              <w:spacing w:before="22" w:line="360" w:lineRule="auto"/>
              <w:ind w:left="162" w:right="158"/>
              <w:jc w:val="center"/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  <w:t>项</w:t>
            </w:r>
          </w:p>
        </w:tc>
        <w:tc>
          <w:tcPr>
            <w:tcW w:w="1577" w:type="dxa"/>
            <w:noWrap w:val="0"/>
            <w:vAlign w:val="center"/>
          </w:tcPr>
          <w:p w14:paraId="339F4CA5">
            <w:pPr>
              <w:pStyle w:val="13"/>
              <w:shd w:val="clear" w:color="auto" w:fill="auto"/>
              <w:spacing w:before="22" w:line="360" w:lineRule="auto"/>
              <w:ind w:left="162" w:right="158"/>
              <w:jc w:val="center"/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  <w:highlight w:val="none"/>
                <w:lang w:val="en-US" w:eastAsia="zh-CN"/>
              </w:rPr>
              <w:t>6</w:t>
            </w:r>
          </w:p>
        </w:tc>
        <w:tc>
          <w:tcPr>
            <w:tcW w:w="1965" w:type="dxa"/>
            <w:noWrap w:val="0"/>
            <w:vAlign w:val="center"/>
          </w:tcPr>
          <w:p w14:paraId="78731B0A">
            <w:pPr>
              <w:pStyle w:val="13"/>
              <w:shd w:val="clear" w:color="auto" w:fill="auto"/>
              <w:spacing w:before="22" w:line="360" w:lineRule="auto"/>
              <w:ind w:left="162" w:right="158"/>
              <w:jc w:val="center"/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  <w:t>自合同签订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  <w:lang w:eastAsia="zh-CN"/>
              </w:rPr>
              <w:t>之日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</w:rPr>
              <w:t>起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32"/>
                <w:szCs w:val="32"/>
                <w:lang w:val="en-US" w:eastAsia="zh-CN"/>
              </w:rPr>
              <w:t>12个月</w:t>
            </w:r>
          </w:p>
        </w:tc>
      </w:tr>
    </w:tbl>
    <w:p w14:paraId="2617B82A">
      <w:pPr>
        <w:pStyle w:val="2"/>
        <w:shd w:val="clear" w:color="auto" w:fill="auto"/>
        <w:spacing w:before="0" w:after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、项目服务要求</w:t>
      </w:r>
    </w:p>
    <w:p w14:paraId="49ADE3C6">
      <w:pPr>
        <w:pStyle w:val="6"/>
        <w:shd w:val="clear" w:color="auto" w:fill="auto"/>
        <w:spacing w:before="43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（一）污水站运营方式</w:t>
      </w:r>
    </w:p>
    <w:p w14:paraId="239040FB">
      <w:pPr>
        <w:pStyle w:val="6"/>
        <w:shd w:val="clear" w:color="auto" w:fill="auto"/>
        <w:spacing w:before="43" w:line="360" w:lineRule="auto"/>
        <w:ind w:right="355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本项目运营范围从调节池到污水排放口。采购人在排放口处安装流量计量表，成交人每天对处理水量进行记录，每月统计一次作为收费依据，采用费用总包方式。</w:t>
      </w:r>
    </w:p>
    <w:p w14:paraId="19CDDF09">
      <w:pPr>
        <w:pStyle w:val="6"/>
        <w:shd w:val="clear" w:color="auto" w:fill="auto"/>
        <w:spacing w:line="360" w:lineRule="auto"/>
        <w:ind w:right="355"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运营工作范围：成交人需根据采购人现有的处理设施，结合项目实际情况对产生的废水进行消毒。成交人务必派驻一名专业操作员进驻现场负责医院的污水运营管理，定期给消毒设施加药处理，并监测污水设施运营情况，必须保障废水达标排放，成交人应根据实际情况加大处理频率， 同时考虑应急措施投加含氯消毒片等。</w:t>
      </w:r>
    </w:p>
    <w:p w14:paraId="37399EEE">
      <w:pPr>
        <w:pStyle w:val="6"/>
        <w:shd w:val="clear" w:color="auto" w:fill="auto"/>
        <w:spacing w:line="360" w:lineRule="auto"/>
        <w:ind w:right="358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消毒方式应符合国家、行业相关标准，同时对消毒系统进行定期维护。废水处理站的用水、用电按实际用量由采购人负责，涉及废水处理设备的正常损坏更换的，其更换设备由采购人提供，成交人协助安装，并负责日常保养维护，采购人会派出人员现场监督管理。</w:t>
      </w:r>
    </w:p>
    <w:p w14:paraId="64BD8164">
      <w:pPr>
        <w:numPr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（二）进水水质和处理量</w:t>
      </w:r>
    </w:p>
    <w:p w14:paraId="26B0BDBC">
      <w:pPr>
        <w:numPr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1.进水水质</w:t>
      </w:r>
    </w:p>
    <w:p w14:paraId="4D389CEA">
      <w:pPr>
        <w:pStyle w:val="6"/>
        <w:shd w:val="clear" w:color="auto" w:fill="auto"/>
        <w:spacing w:after="20"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根据污水站日常的监测数据和同类污水站的水质参数，本污水站的进水指标如下表：</w:t>
      </w:r>
    </w:p>
    <w:tbl>
      <w:tblPr>
        <w:tblStyle w:val="7"/>
        <w:tblW w:w="0" w:type="auto"/>
        <w:tblInd w:w="14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1500"/>
        <w:gridCol w:w="2160"/>
        <w:gridCol w:w="2090"/>
      </w:tblGrid>
      <w:tr w14:paraId="3CAF7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626C9013">
            <w:pPr>
              <w:pStyle w:val="13"/>
              <w:shd w:val="clear" w:color="auto" w:fill="auto"/>
              <w:spacing w:before="2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1500" w:type="dxa"/>
            <w:noWrap w:val="0"/>
            <w:vAlign w:val="top"/>
          </w:tcPr>
          <w:p w14:paraId="78FAEBA3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指标</w:t>
            </w:r>
          </w:p>
        </w:tc>
        <w:tc>
          <w:tcPr>
            <w:tcW w:w="2160" w:type="dxa"/>
            <w:noWrap w:val="0"/>
            <w:vAlign w:val="top"/>
          </w:tcPr>
          <w:p w14:paraId="0AB0567E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单位</w:t>
            </w:r>
          </w:p>
        </w:tc>
        <w:tc>
          <w:tcPr>
            <w:tcW w:w="2090" w:type="dxa"/>
            <w:noWrap w:val="0"/>
            <w:vAlign w:val="top"/>
          </w:tcPr>
          <w:p w14:paraId="5E021E40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进水水质</w:t>
            </w:r>
          </w:p>
        </w:tc>
      </w:tr>
      <w:tr w14:paraId="3B7C3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1DA4A7BE">
            <w:pPr>
              <w:pStyle w:val="13"/>
              <w:shd w:val="clear" w:color="auto" w:fill="auto"/>
              <w:spacing w:before="2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1</w:t>
            </w:r>
          </w:p>
        </w:tc>
        <w:tc>
          <w:tcPr>
            <w:tcW w:w="1500" w:type="dxa"/>
            <w:noWrap w:val="0"/>
            <w:vAlign w:val="top"/>
          </w:tcPr>
          <w:p w14:paraId="10D20513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PH</w:t>
            </w:r>
          </w:p>
        </w:tc>
        <w:tc>
          <w:tcPr>
            <w:tcW w:w="2160" w:type="dxa"/>
            <w:noWrap w:val="0"/>
            <w:vAlign w:val="top"/>
          </w:tcPr>
          <w:p w14:paraId="218100C9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---</w:t>
            </w:r>
          </w:p>
        </w:tc>
        <w:tc>
          <w:tcPr>
            <w:tcW w:w="2090" w:type="dxa"/>
            <w:noWrap w:val="0"/>
            <w:vAlign w:val="top"/>
          </w:tcPr>
          <w:p w14:paraId="1CB2EEED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6~9</w:t>
            </w:r>
          </w:p>
        </w:tc>
      </w:tr>
      <w:tr w14:paraId="73D3E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56" w:type="dxa"/>
            <w:noWrap w:val="0"/>
            <w:vAlign w:val="top"/>
          </w:tcPr>
          <w:p w14:paraId="2DEEAB7B">
            <w:pPr>
              <w:pStyle w:val="13"/>
              <w:shd w:val="clear" w:color="auto" w:fill="auto"/>
              <w:spacing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2</w:t>
            </w:r>
          </w:p>
        </w:tc>
        <w:tc>
          <w:tcPr>
            <w:tcW w:w="1500" w:type="dxa"/>
            <w:noWrap w:val="0"/>
            <w:vAlign w:val="top"/>
          </w:tcPr>
          <w:p w14:paraId="3137B7AF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COD</w:t>
            </w:r>
          </w:p>
        </w:tc>
        <w:tc>
          <w:tcPr>
            <w:tcW w:w="2160" w:type="dxa"/>
            <w:noWrap w:val="0"/>
            <w:vAlign w:val="top"/>
          </w:tcPr>
          <w:p w14:paraId="73520D6A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5276E6F6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≤3000</w:t>
            </w:r>
          </w:p>
        </w:tc>
      </w:tr>
      <w:tr w14:paraId="65662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287F8843">
            <w:pPr>
              <w:pStyle w:val="13"/>
              <w:shd w:val="clear" w:color="auto" w:fill="auto"/>
              <w:spacing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3</w:t>
            </w:r>
          </w:p>
        </w:tc>
        <w:tc>
          <w:tcPr>
            <w:tcW w:w="1500" w:type="dxa"/>
            <w:noWrap w:val="0"/>
            <w:vAlign w:val="top"/>
          </w:tcPr>
          <w:p w14:paraId="1E73D27D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w w:val="99"/>
                <w:sz w:val="32"/>
                <w:szCs w:val="32"/>
              </w:rPr>
              <w:t>BO</w:t>
            </w:r>
            <w:r>
              <w:rPr>
                <w:rFonts w:hint="eastAsia" w:ascii="仿宋" w:hAnsi="仿宋" w:eastAsia="仿宋" w:cs="仿宋"/>
                <w:spacing w:val="-2"/>
                <w:w w:val="99"/>
                <w:sz w:val="32"/>
                <w:szCs w:val="32"/>
              </w:rPr>
              <w:t>D</w:t>
            </w:r>
            <w:r>
              <w:rPr>
                <w:rFonts w:hint="eastAsia" w:ascii="仿宋" w:hAnsi="仿宋" w:eastAsia="仿宋" w:cs="仿宋"/>
                <w:w w:val="106"/>
                <w:position w:val="-2"/>
                <w:sz w:val="32"/>
                <w:szCs w:val="32"/>
              </w:rPr>
              <w:t>5</w:t>
            </w:r>
          </w:p>
        </w:tc>
        <w:tc>
          <w:tcPr>
            <w:tcW w:w="2160" w:type="dxa"/>
            <w:noWrap w:val="0"/>
            <w:vAlign w:val="top"/>
          </w:tcPr>
          <w:p w14:paraId="61C50F0D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4B82D2FC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≤1500</w:t>
            </w:r>
          </w:p>
        </w:tc>
      </w:tr>
      <w:tr w14:paraId="4FC3A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56" w:type="dxa"/>
            <w:noWrap w:val="0"/>
            <w:vAlign w:val="top"/>
          </w:tcPr>
          <w:p w14:paraId="01888620">
            <w:pPr>
              <w:pStyle w:val="13"/>
              <w:shd w:val="clear" w:color="auto" w:fill="auto"/>
              <w:spacing w:before="60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4</w:t>
            </w:r>
          </w:p>
        </w:tc>
        <w:tc>
          <w:tcPr>
            <w:tcW w:w="1500" w:type="dxa"/>
            <w:noWrap w:val="0"/>
            <w:vAlign w:val="top"/>
          </w:tcPr>
          <w:p w14:paraId="72C7A28F">
            <w:pPr>
              <w:pStyle w:val="13"/>
              <w:shd w:val="clear" w:color="auto" w:fill="auto"/>
              <w:spacing w:before="60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SS</w:t>
            </w:r>
          </w:p>
        </w:tc>
        <w:tc>
          <w:tcPr>
            <w:tcW w:w="2160" w:type="dxa"/>
            <w:noWrap w:val="0"/>
            <w:vAlign w:val="top"/>
          </w:tcPr>
          <w:p w14:paraId="5D22D4AC">
            <w:pPr>
              <w:pStyle w:val="13"/>
              <w:shd w:val="clear" w:color="auto" w:fill="auto"/>
              <w:spacing w:before="60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63B90A9E">
            <w:pPr>
              <w:pStyle w:val="13"/>
              <w:shd w:val="clear" w:color="auto" w:fill="auto"/>
              <w:spacing w:before="60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≤800</w:t>
            </w:r>
          </w:p>
        </w:tc>
      </w:tr>
      <w:tr w14:paraId="4DB13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183B5389">
            <w:pPr>
              <w:pStyle w:val="13"/>
              <w:shd w:val="clear" w:color="auto" w:fill="auto"/>
              <w:spacing w:before="2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5</w:t>
            </w:r>
          </w:p>
        </w:tc>
        <w:tc>
          <w:tcPr>
            <w:tcW w:w="1500" w:type="dxa"/>
            <w:noWrap w:val="0"/>
            <w:vAlign w:val="top"/>
          </w:tcPr>
          <w:p w14:paraId="3440CE2E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氨氮</w:t>
            </w:r>
          </w:p>
        </w:tc>
        <w:tc>
          <w:tcPr>
            <w:tcW w:w="2160" w:type="dxa"/>
            <w:noWrap w:val="0"/>
            <w:vAlign w:val="top"/>
          </w:tcPr>
          <w:p w14:paraId="1B58A978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658DBD33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≤110</w:t>
            </w:r>
          </w:p>
        </w:tc>
      </w:tr>
      <w:tr w14:paraId="6F5A5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3A691B68">
            <w:pPr>
              <w:pStyle w:val="13"/>
              <w:shd w:val="clear" w:color="auto" w:fill="auto"/>
              <w:spacing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6</w:t>
            </w:r>
          </w:p>
        </w:tc>
        <w:tc>
          <w:tcPr>
            <w:tcW w:w="1500" w:type="dxa"/>
            <w:noWrap w:val="0"/>
            <w:vAlign w:val="top"/>
          </w:tcPr>
          <w:p w14:paraId="06ACD9A8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总磷</w:t>
            </w:r>
          </w:p>
        </w:tc>
        <w:tc>
          <w:tcPr>
            <w:tcW w:w="2160" w:type="dxa"/>
            <w:noWrap w:val="0"/>
            <w:vAlign w:val="top"/>
          </w:tcPr>
          <w:p w14:paraId="479B4F64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1A6D021E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≤30</w:t>
            </w:r>
          </w:p>
        </w:tc>
      </w:tr>
      <w:tr w14:paraId="6BE99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56" w:type="dxa"/>
            <w:noWrap w:val="0"/>
            <w:vAlign w:val="top"/>
          </w:tcPr>
          <w:p w14:paraId="508E7FB0">
            <w:pPr>
              <w:pStyle w:val="13"/>
              <w:shd w:val="clear" w:color="auto" w:fill="auto"/>
              <w:spacing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7</w:t>
            </w:r>
          </w:p>
        </w:tc>
        <w:tc>
          <w:tcPr>
            <w:tcW w:w="1500" w:type="dxa"/>
            <w:noWrap w:val="0"/>
            <w:vAlign w:val="top"/>
          </w:tcPr>
          <w:p w14:paraId="35430023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粪大肠杆菌</w:t>
            </w:r>
          </w:p>
        </w:tc>
        <w:tc>
          <w:tcPr>
            <w:tcW w:w="2160" w:type="dxa"/>
            <w:noWrap w:val="0"/>
            <w:vAlign w:val="top"/>
          </w:tcPr>
          <w:p w14:paraId="0ECB1235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个/L</w:t>
            </w:r>
          </w:p>
        </w:tc>
        <w:tc>
          <w:tcPr>
            <w:tcW w:w="2090" w:type="dxa"/>
            <w:noWrap w:val="0"/>
            <w:vAlign w:val="top"/>
          </w:tcPr>
          <w:p w14:paraId="7B8840CC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w w:val="99"/>
                <w:sz w:val="32"/>
                <w:szCs w:val="32"/>
              </w:rPr>
              <w:t>≤</w:t>
            </w:r>
            <w:r>
              <w:rPr>
                <w:rFonts w:hint="eastAsia" w:ascii="仿宋" w:hAnsi="仿宋" w:eastAsia="仿宋" w:cs="仿宋"/>
                <w:spacing w:val="1"/>
                <w:w w:val="99"/>
                <w:sz w:val="32"/>
                <w:szCs w:val="32"/>
              </w:rPr>
              <w:t>10</w:t>
            </w:r>
            <w:r>
              <w:rPr>
                <w:rFonts w:hint="eastAsia" w:ascii="仿宋" w:hAnsi="仿宋" w:eastAsia="仿宋" w:cs="仿宋"/>
                <w:w w:val="106"/>
                <w:position w:val="10"/>
                <w:sz w:val="32"/>
                <w:szCs w:val="32"/>
              </w:rPr>
              <w:t>8</w:t>
            </w:r>
          </w:p>
        </w:tc>
      </w:tr>
      <w:tr w14:paraId="45D20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5466275B">
            <w:pPr>
              <w:pStyle w:val="13"/>
              <w:shd w:val="clear" w:color="auto" w:fill="auto"/>
              <w:spacing w:before="22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8</w:t>
            </w:r>
          </w:p>
        </w:tc>
        <w:tc>
          <w:tcPr>
            <w:tcW w:w="1500" w:type="dxa"/>
            <w:noWrap w:val="0"/>
            <w:vAlign w:val="top"/>
          </w:tcPr>
          <w:p w14:paraId="5293624A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余氯</w:t>
            </w:r>
          </w:p>
        </w:tc>
        <w:tc>
          <w:tcPr>
            <w:tcW w:w="2160" w:type="dxa"/>
            <w:noWrap w:val="0"/>
            <w:vAlign w:val="top"/>
          </w:tcPr>
          <w:p w14:paraId="01E05C59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5D29CA9F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---</w:t>
            </w:r>
          </w:p>
        </w:tc>
      </w:tr>
    </w:tbl>
    <w:p w14:paraId="5C6EEB56">
      <w:pPr>
        <w:pStyle w:val="6"/>
        <w:shd w:val="clear" w:color="auto" w:fill="auto"/>
        <w:spacing w:before="22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2.处理水质</w:t>
      </w:r>
    </w:p>
    <w:p w14:paraId="0C4B388E">
      <w:pPr>
        <w:pStyle w:val="6"/>
        <w:shd w:val="clear" w:color="auto" w:fill="auto"/>
        <w:spacing w:before="43"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根据本项目的废水处理服务方案以及现场调查，本项目实际处理水量约为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80m³/d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。因此，本污水处理站要求成交人的处理能力不少于为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100m³/d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</w:p>
    <w:p w14:paraId="16CC77D2">
      <w:pPr>
        <w:pStyle w:val="6"/>
        <w:shd w:val="clear" w:color="auto" w:fill="auto"/>
        <w:spacing w:before="22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环境管理服务内容</w:t>
      </w:r>
    </w:p>
    <w:p w14:paraId="69722145">
      <w:pPr>
        <w:pStyle w:val="6"/>
        <w:shd w:val="clear" w:color="auto" w:fill="auto"/>
        <w:spacing w:before="43"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  <w:t>根据医院排污许可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登记管理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  <w:t>要求完成废水检测。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检测内容如下；</w:t>
      </w:r>
    </w:p>
    <w:tbl>
      <w:tblPr>
        <w:tblStyle w:val="14"/>
        <w:tblW w:w="898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1"/>
        <w:gridCol w:w="6105"/>
      </w:tblGrid>
      <w:tr w14:paraId="69CA0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881" w:type="dxa"/>
            <w:noWrap w:val="0"/>
            <w:vAlign w:val="top"/>
          </w:tcPr>
          <w:p w14:paraId="02B95785">
            <w:pPr>
              <w:pStyle w:val="12"/>
              <w:shd w:val="clear" w:color="auto" w:fill="auto"/>
              <w:spacing w:before="143" w:line="306" w:lineRule="auto"/>
              <w:ind w:left="1106" w:right="34" w:hanging="959"/>
              <w:jc w:val="center"/>
              <w:rPr>
                <w:rFonts w:hint="eastAsia" w:ascii="仿宋" w:hAnsi="仿宋" w:eastAsia="仿宋" w:cs="仿宋"/>
                <w:spacing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检测项目</w:t>
            </w:r>
          </w:p>
        </w:tc>
        <w:tc>
          <w:tcPr>
            <w:tcW w:w="6105" w:type="dxa"/>
            <w:noWrap w:val="0"/>
            <w:vAlign w:val="top"/>
          </w:tcPr>
          <w:p w14:paraId="0A49B601">
            <w:pPr>
              <w:pStyle w:val="12"/>
              <w:shd w:val="clear" w:color="auto" w:fill="auto"/>
              <w:spacing w:before="143" w:line="306" w:lineRule="auto"/>
              <w:ind w:left="1106" w:right="34" w:hanging="959"/>
              <w:jc w:val="center"/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内   容</w:t>
            </w:r>
          </w:p>
        </w:tc>
      </w:tr>
      <w:tr w14:paraId="6B6D2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881" w:type="dxa"/>
            <w:noWrap w:val="0"/>
            <w:vAlign w:val="top"/>
          </w:tcPr>
          <w:p w14:paraId="2B28D5F5">
            <w:pPr>
              <w:pStyle w:val="12"/>
              <w:shd w:val="clear" w:color="auto" w:fill="auto"/>
              <w:spacing w:before="143" w:line="306" w:lineRule="auto"/>
              <w:ind w:left="1106" w:right="34" w:hanging="959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  <w:lang w:val="en-US" w:eastAsia="zh-CN"/>
              </w:rPr>
              <w:t>日常检测试剂</w:t>
            </w:r>
          </w:p>
        </w:tc>
        <w:tc>
          <w:tcPr>
            <w:tcW w:w="6105" w:type="dxa"/>
            <w:noWrap w:val="0"/>
            <w:vAlign w:val="top"/>
          </w:tcPr>
          <w:p w14:paraId="50D09340">
            <w:pPr>
              <w:pStyle w:val="12"/>
              <w:shd w:val="clear" w:color="auto" w:fill="auto"/>
              <w:spacing w:before="143" w:line="306" w:lineRule="auto"/>
              <w:ind w:right="34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溶解氧含量(D0)、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Ph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值、</w:t>
            </w: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总余氯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  <w:lang w:val="en-US" w:eastAsia="zh-CN"/>
              </w:rPr>
              <w:t xml:space="preserve"> 1次/日</w:t>
            </w:r>
          </w:p>
        </w:tc>
      </w:tr>
      <w:tr w14:paraId="05E22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</w:trPr>
        <w:tc>
          <w:tcPr>
            <w:tcW w:w="2881" w:type="dxa"/>
            <w:noWrap w:val="0"/>
            <w:vAlign w:val="top"/>
          </w:tcPr>
          <w:p w14:paraId="3CB20E18">
            <w:pPr>
              <w:pStyle w:val="12"/>
              <w:shd w:val="clear" w:color="auto" w:fill="auto"/>
              <w:spacing w:before="78" w:line="365" w:lineRule="auto"/>
              <w:ind w:right="191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年度污水检测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(取水送样至第</w:t>
            </w: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三方，出具检测报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告</w:t>
            </w:r>
            <w:r>
              <w:rPr>
                <w:rFonts w:hint="eastAsia" w:ascii="仿宋" w:hAnsi="仿宋" w:eastAsia="仿宋" w:cs="仿宋"/>
                <w:spacing w:val="-4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)</w:t>
            </w:r>
          </w:p>
        </w:tc>
        <w:tc>
          <w:tcPr>
            <w:tcW w:w="6105" w:type="dxa"/>
            <w:noWrap w:val="0"/>
            <w:vAlign w:val="top"/>
          </w:tcPr>
          <w:p w14:paraId="3D236E45">
            <w:pPr>
              <w:pStyle w:val="12"/>
              <w:shd w:val="clear" w:color="auto" w:fill="auto"/>
              <w:spacing w:before="125" w:line="219" w:lineRule="auto"/>
              <w:ind w:left="117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包含检测频次：COD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SS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>,1次/周；</w:t>
            </w: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粪大肠菌群，1次/月；</w:t>
            </w: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 xml:space="preserve">沙门氏菌、志贺氏菌，季度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/次。</w:t>
            </w:r>
          </w:p>
        </w:tc>
      </w:tr>
    </w:tbl>
    <w:p w14:paraId="25109A08">
      <w:pPr>
        <w:pStyle w:val="6"/>
        <w:shd w:val="clear" w:color="auto" w:fill="auto"/>
        <w:spacing w:before="43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）运营目标和执行标准</w:t>
      </w:r>
    </w:p>
    <w:p w14:paraId="7090F30E">
      <w:pPr>
        <w:pStyle w:val="6"/>
        <w:shd w:val="clear" w:color="auto" w:fill="auto"/>
        <w:spacing w:before="42"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本污水站的运营目标是维持污水站正常运行，确保污水达标排放，该废水经过处理后执行国家《医疗机构水污染物排放标准》（GB18466-2005)预处理标准，具体指标如下：</w:t>
      </w:r>
    </w:p>
    <w:tbl>
      <w:tblPr>
        <w:tblStyle w:val="7"/>
        <w:tblW w:w="0" w:type="auto"/>
        <w:tblInd w:w="14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1500"/>
        <w:gridCol w:w="2160"/>
        <w:gridCol w:w="2090"/>
      </w:tblGrid>
      <w:tr w14:paraId="46C301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56" w:type="dxa"/>
            <w:noWrap w:val="0"/>
            <w:vAlign w:val="top"/>
          </w:tcPr>
          <w:p w14:paraId="54DF6F09">
            <w:pPr>
              <w:pStyle w:val="13"/>
              <w:shd w:val="clear" w:color="auto" w:fill="auto"/>
              <w:spacing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1500" w:type="dxa"/>
            <w:noWrap w:val="0"/>
            <w:vAlign w:val="top"/>
          </w:tcPr>
          <w:p w14:paraId="416DAEC4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指标</w:t>
            </w:r>
          </w:p>
        </w:tc>
        <w:tc>
          <w:tcPr>
            <w:tcW w:w="2160" w:type="dxa"/>
            <w:noWrap w:val="0"/>
            <w:vAlign w:val="top"/>
          </w:tcPr>
          <w:p w14:paraId="631A456D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单位</w:t>
            </w:r>
          </w:p>
        </w:tc>
        <w:tc>
          <w:tcPr>
            <w:tcW w:w="2090" w:type="dxa"/>
            <w:noWrap w:val="0"/>
            <w:vAlign w:val="top"/>
          </w:tcPr>
          <w:p w14:paraId="452F4D12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限值</w:t>
            </w:r>
          </w:p>
        </w:tc>
      </w:tr>
      <w:tr w14:paraId="11712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7D49A22B">
            <w:pPr>
              <w:pStyle w:val="13"/>
              <w:shd w:val="clear" w:color="auto" w:fill="auto"/>
              <w:spacing w:before="22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1</w:t>
            </w:r>
          </w:p>
        </w:tc>
        <w:tc>
          <w:tcPr>
            <w:tcW w:w="1500" w:type="dxa"/>
            <w:noWrap w:val="0"/>
            <w:vAlign w:val="top"/>
          </w:tcPr>
          <w:p w14:paraId="3575CB2B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PH</w:t>
            </w:r>
          </w:p>
        </w:tc>
        <w:tc>
          <w:tcPr>
            <w:tcW w:w="2160" w:type="dxa"/>
            <w:noWrap w:val="0"/>
            <w:vAlign w:val="top"/>
          </w:tcPr>
          <w:p w14:paraId="7BB860EF">
            <w:pPr>
              <w:pStyle w:val="13"/>
              <w:shd w:val="clear" w:color="auto" w:fill="auto"/>
              <w:spacing w:before="0" w:line="360" w:lineRule="auto"/>
              <w:ind w:left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90" w:type="dxa"/>
            <w:noWrap w:val="0"/>
            <w:vAlign w:val="top"/>
          </w:tcPr>
          <w:p w14:paraId="64BDAA3F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6~9</w:t>
            </w:r>
          </w:p>
        </w:tc>
      </w:tr>
      <w:tr w14:paraId="387DE0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4BED35EA">
            <w:pPr>
              <w:pStyle w:val="13"/>
              <w:shd w:val="clear" w:color="auto" w:fill="auto"/>
              <w:spacing w:before="2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2</w:t>
            </w:r>
          </w:p>
        </w:tc>
        <w:tc>
          <w:tcPr>
            <w:tcW w:w="1500" w:type="dxa"/>
            <w:noWrap w:val="0"/>
            <w:vAlign w:val="top"/>
          </w:tcPr>
          <w:p w14:paraId="4FC3EDB4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COD</w:t>
            </w:r>
          </w:p>
        </w:tc>
        <w:tc>
          <w:tcPr>
            <w:tcW w:w="2160" w:type="dxa"/>
            <w:noWrap w:val="0"/>
            <w:vAlign w:val="top"/>
          </w:tcPr>
          <w:p w14:paraId="586EAB79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786497CD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60</w:t>
            </w:r>
          </w:p>
        </w:tc>
      </w:tr>
      <w:tr w14:paraId="20A57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609BE304">
            <w:pPr>
              <w:pStyle w:val="13"/>
              <w:shd w:val="clear" w:color="auto" w:fill="auto"/>
              <w:spacing w:before="2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3</w:t>
            </w:r>
          </w:p>
        </w:tc>
        <w:tc>
          <w:tcPr>
            <w:tcW w:w="1500" w:type="dxa"/>
            <w:noWrap w:val="0"/>
            <w:vAlign w:val="top"/>
          </w:tcPr>
          <w:p w14:paraId="46C433CE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w w:val="99"/>
                <w:sz w:val="32"/>
                <w:szCs w:val="32"/>
              </w:rPr>
              <w:t>BO</w:t>
            </w:r>
            <w:r>
              <w:rPr>
                <w:rFonts w:hint="eastAsia" w:ascii="仿宋" w:hAnsi="仿宋" w:eastAsia="仿宋" w:cs="仿宋"/>
                <w:spacing w:val="-2"/>
                <w:w w:val="99"/>
                <w:sz w:val="32"/>
                <w:szCs w:val="32"/>
              </w:rPr>
              <w:t>D</w:t>
            </w:r>
            <w:r>
              <w:rPr>
                <w:rFonts w:hint="eastAsia" w:ascii="仿宋" w:hAnsi="仿宋" w:eastAsia="仿宋" w:cs="仿宋"/>
                <w:w w:val="106"/>
                <w:position w:val="-2"/>
                <w:sz w:val="32"/>
                <w:szCs w:val="32"/>
              </w:rPr>
              <w:t>5</w:t>
            </w:r>
          </w:p>
        </w:tc>
        <w:tc>
          <w:tcPr>
            <w:tcW w:w="2160" w:type="dxa"/>
            <w:noWrap w:val="0"/>
            <w:vAlign w:val="top"/>
          </w:tcPr>
          <w:p w14:paraId="1DC18E07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38EDD9DE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</w:t>
            </w:r>
          </w:p>
        </w:tc>
      </w:tr>
      <w:tr w14:paraId="47918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56" w:type="dxa"/>
            <w:noWrap w:val="0"/>
            <w:vAlign w:val="top"/>
          </w:tcPr>
          <w:p w14:paraId="432A48F4">
            <w:pPr>
              <w:pStyle w:val="13"/>
              <w:shd w:val="clear" w:color="auto" w:fill="auto"/>
              <w:spacing w:before="6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4</w:t>
            </w:r>
          </w:p>
        </w:tc>
        <w:tc>
          <w:tcPr>
            <w:tcW w:w="1500" w:type="dxa"/>
            <w:noWrap w:val="0"/>
            <w:vAlign w:val="top"/>
          </w:tcPr>
          <w:p w14:paraId="7ACC7122">
            <w:pPr>
              <w:pStyle w:val="13"/>
              <w:shd w:val="clear" w:color="auto" w:fill="auto"/>
              <w:spacing w:before="6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SS</w:t>
            </w:r>
          </w:p>
        </w:tc>
        <w:tc>
          <w:tcPr>
            <w:tcW w:w="2160" w:type="dxa"/>
            <w:noWrap w:val="0"/>
            <w:vAlign w:val="top"/>
          </w:tcPr>
          <w:p w14:paraId="5CB1E16F">
            <w:pPr>
              <w:pStyle w:val="13"/>
              <w:shd w:val="clear" w:color="auto" w:fill="auto"/>
              <w:spacing w:before="6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00A4DDB8">
            <w:pPr>
              <w:pStyle w:val="13"/>
              <w:shd w:val="clear" w:color="auto" w:fill="auto"/>
              <w:spacing w:before="6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</w:t>
            </w:r>
          </w:p>
        </w:tc>
      </w:tr>
      <w:tr w14:paraId="36828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56" w:type="dxa"/>
            <w:noWrap w:val="0"/>
            <w:vAlign w:val="top"/>
          </w:tcPr>
          <w:p w14:paraId="697A1301">
            <w:pPr>
              <w:pStyle w:val="13"/>
              <w:shd w:val="clear" w:color="auto" w:fill="auto"/>
              <w:spacing w:before="22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5</w:t>
            </w:r>
          </w:p>
        </w:tc>
        <w:tc>
          <w:tcPr>
            <w:tcW w:w="1500" w:type="dxa"/>
            <w:noWrap w:val="0"/>
            <w:vAlign w:val="top"/>
          </w:tcPr>
          <w:p w14:paraId="43B4A07F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氨氮</w:t>
            </w:r>
          </w:p>
        </w:tc>
        <w:tc>
          <w:tcPr>
            <w:tcW w:w="2160" w:type="dxa"/>
            <w:noWrap w:val="0"/>
            <w:vAlign w:val="top"/>
          </w:tcPr>
          <w:p w14:paraId="52B75A26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44890670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15</w:t>
            </w:r>
          </w:p>
        </w:tc>
      </w:tr>
      <w:tr w14:paraId="53D013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3862B355">
            <w:pPr>
              <w:pStyle w:val="13"/>
              <w:shd w:val="clear" w:color="auto" w:fill="auto"/>
              <w:spacing w:before="22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6</w:t>
            </w:r>
          </w:p>
        </w:tc>
        <w:tc>
          <w:tcPr>
            <w:tcW w:w="1500" w:type="dxa"/>
            <w:noWrap w:val="0"/>
            <w:vAlign w:val="top"/>
          </w:tcPr>
          <w:p w14:paraId="18D5ACFB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总磷</w:t>
            </w:r>
          </w:p>
        </w:tc>
        <w:tc>
          <w:tcPr>
            <w:tcW w:w="2160" w:type="dxa"/>
            <w:noWrap w:val="0"/>
            <w:vAlign w:val="top"/>
          </w:tcPr>
          <w:p w14:paraId="0082260A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150FAC52">
            <w:pPr>
              <w:pStyle w:val="13"/>
              <w:shd w:val="clear" w:color="auto" w:fill="auto"/>
              <w:spacing w:before="22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---</w:t>
            </w:r>
          </w:p>
        </w:tc>
      </w:tr>
      <w:tr w14:paraId="480A0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55F55996">
            <w:pPr>
              <w:pStyle w:val="13"/>
              <w:shd w:val="clear" w:color="auto" w:fill="auto"/>
              <w:spacing w:before="2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7</w:t>
            </w:r>
          </w:p>
        </w:tc>
        <w:tc>
          <w:tcPr>
            <w:tcW w:w="1500" w:type="dxa"/>
            <w:noWrap w:val="0"/>
            <w:vAlign w:val="top"/>
          </w:tcPr>
          <w:p w14:paraId="461D1079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粪大肠杆菌群</w:t>
            </w:r>
          </w:p>
        </w:tc>
        <w:tc>
          <w:tcPr>
            <w:tcW w:w="2160" w:type="dxa"/>
            <w:noWrap w:val="0"/>
            <w:vAlign w:val="top"/>
          </w:tcPr>
          <w:p w14:paraId="2A1C59FA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MPN/L</w:t>
            </w:r>
          </w:p>
        </w:tc>
        <w:tc>
          <w:tcPr>
            <w:tcW w:w="2090" w:type="dxa"/>
            <w:noWrap w:val="0"/>
            <w:vAlign w:val="top"/>
          </w:tcPr>
          <w:p w14:paraId="239F7A5E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500</w:t>
            </w:r>
          </w:p>
        </w:tc>
      </w:tr>
      <w:tr w14:paraId="1BF67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53FD7588">
            <w:pPr>
              <w:pStyle w:val="13"/>
              <w:shd w:val="clear" w:color="auto" w:fill="auto"/>
              <w:spacing w:before="21"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8</w:t>
            </w:r>
          </w:p>
        </w:tc>
        <w:tc>
          <w:tcPr>
            <w:tcW w:w="1500" w:type="dxa"/>
            <w:noWrap w:val="0"/>
            <w:vAlign w:val="top"/>
          </w:tcPr>
          <w:p w14:paraId="1B583698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余氯</w:t>
            </w:r>
          </w:p>
        </w:tc>
        <w:tc>
          <w:tcPr>
            <w:tcW w:w="2160" w:type="dxa"/>
            <w:noWrap w:val="0"/>
            <w:vAlign w:val="top"/>
          </w:tcPr>
          <w:p w14:paraId="3F3AC44F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1477BF07">
            <w:pPr>
              <w:pStyle w:val="13"/>
              <w:shd w:val="clear" w:color="auto" w:fill="auto"/>
              <w:spacing w:before="21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0.5</w:t>
            </w:r>
          </w:p>
        </w:tc>
      </w:tr>
      <w:tr w14:paraId="54B5C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6" w:type="dxa"/>
            <w:noWrap w:val="0"/>
            <w:vAlign w:val="top"/>
          </w:tcPr>
          <w:p w14:paraId="616D20F6">
            <w:pPr>
              <w:pStyle w:val="13"/>
              <w:shd w:val="clear" w:color="auto" w:fill="auto"/>
              <w:spacing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9</w:t>
            </w:r>
          </w:p>
        </w:tc>
        <w:tc>
          <w:tcPr>
            <w:tcW w:w="1500" w:type="dxa"/>
            <w:noWrap w:val="0"/>
            <w:vAlign w:val="top"/>
          </w:tcPr>
          <w:p w14:paraId="458CE0BC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动植物油</w:t>
            </w:r>
          </w:p>
        </w:tc>
        <w:tc>
          <w:tcPr>
            <w:tcW w:w="2160" w:type="dxa"/>
            <w:noWrap w:val="0"/>
            <w:vAlign w:val="top"/>
          </w:tcPr>
          <w:p w14:paraId="58FB10D4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7E7A5B82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w w:val="99"/>
                <w:sz w:val="32"/>
                <w:szCs w:val="32"/>
              </w:rPr>
              <w:t>5</w:t>
            </w:r>
          </w:p>
        </w:tc>
      </w:tr>
      <w:tr w14:paraId="6C9CC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56" w:type="dxa"/>
            <w:noWrap w:val="0"/>
            <w:vAlign w:val="top"/>
          </w:tcPr>
          <w:p w14:paraId="025161F7">
            <w:pPr>
              <w:pStyle w:val="13"/>
              <w:shd w:val="clear" w:color="auto" w:fill="auto"/>
              <w:spacing w:line="360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</w:t>
            </w:r>
          </w:p>
        </w:tc>
        <w:tc>
          <w:tcPr>
            <w:tcW w:w="1500" w:type="dxa"/>
            <w:noWrap w:val="0"/>
            <w:vAlign w:val="top"/>
          </w:tcPr>
          <w:p w14:paraId="0530857A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肠道致病菌</w:t>
            </w:r>
          </w:p>
        </w:tc>
        <w:tc>
          <w:tcPr>
            <w:tcW w:w="2160" w:type="dxa"/>
            <w:noWrap w:val="0"/>
            <w:vAlign w:val="top"/>
          </w:tcPr>
          <w:p w14:paraId="67CD7A50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mg/L</w:t>
            </w:r>
          </w:p>
        </w:tc>
        <w:tc>
          <w:tcPr>
            <w:tcW w:w="2090" w:type="dxa"/>
            <w:noWrap w:val="0"/>
            <w:vAlign w:val="top"/>
          </w:tcPr>
          <w:p w14:paraId="008516B5">
            <w:pPr>
              <w:pStyle w:val="13"/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不得检出</w:t>
            </w:r>
          </w:p>
        </w:tc>
      </w:tr>
    </w:tbl>
    <w:p w14:paraId="194C27E1">
      <w:pPr>
        <w:pStyle w:val="6"/>
        <w:numPr>
          <w:ilvl w:val="0"/>
          <w:numId w:val="0"/>
        </w:numPr>
        <w:shd w:val="clear" w:color="auto" w:fill="auto"/>
        <w:spacing w:line="360" w:lineRule="auto"/>
        <w:ind w:left="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（五）</w:t>
      </w:r>
      <w:r>
        <w:rPr>
          <w:rFonts w:hint="eastAsia" w:ascii="仿宋" w:hAnsi="仿宋" w:eastAsia="仿宋" w:cs="仿宋"/>
          <w:sz w:val="32"/>
          <w:szCs w:val="32"/>
        </w:rPr>
        <w:t>双方责任范围</w:t>
      </w:r>
    </w:p>
    <w:p w14:paraId="4BAD8AA7">
      <w:pPr>
        <w:pStyle w:val="6"/>
        <w:numPr>
          <w:numId w:val="0"/>
        </w:numPr>
        <w:shd w:val="clear" w:color="auto" w:fill="auto"/>
        <w:spacing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采购人：</w:t>
      </w:r>
    </w:p>
    <w:p w14:paraId="5D33ED40">
      <w:pPr>
        <w:pStyle w:val="11"/>
        <w:numPr>
          <w:ilvl w:val="0"/>
          <w:numId w:val="1"/>
        </w:numPr>
        <w:shd w:val="clear" w:color="auto" w:fill="auto"/>
        <w:tabs>
          <w:tab w:val="left" w:pos="1243"/>
        </w:tabs>
        <w:spacing w:before="0" w:after="0" w:line="360" w:lineRule="auto"/>
        <w:ind w:left="1055" w:leftChars="0" w:right="0" w:rightChars="0" w:hanging="425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负责支付成交人的运营管理费；</w:t>
      </w:r>
    </w:p>
    <w:p w14:paraId="2C75A494">
      <w:pPr>
        <w:pStyle w:val="11"/>
        <w:numPr>
          <w:ilvl w:val="0"/>
          <w:numId w:val="1"/>
        </w:numPr>
        <w:shd w:val="clear" w:color="auto" w:fill="auto"/>
        <w:tabs>
          <w:tab w:val="left" w:pos="1243"/>
        </w:tabs>
        <w:spacing w:after="0" w:line="360" w:lineRule="auto"/>
        <w:ind w:left="1055" w:leftChars="0" w:right="0" w:rightChars="0" w:hanging="425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负责污水站正常更换设备、零配件和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sz w:val="32"/>
          <w:szCs w:val="32"/>
        </w:rPr>
        <w:t>材料购买；</w:t>
      </w:r>
    </w:p>
    <w:p w14:paraId="3A5C4E4B">
      <w:pPr>
        <w:pStyle w:val="11"/>
        <w:numPr>
          <w:ilvl w:val="0"/>
          <w:numId w:val="1"/>
        </w:numPr>
        <w:shd w:val="clear" w:color="auto" w:fill="auto"/>
        <w:tabs>
          <w:tab w:val="left" w:pos="1243"/>
        </w:tabs>
        <w:spacing w:after="0" w:line="360" w:lineRule="auto"/>
        <w:ind w:left="1055" w:leftChars="0" w:right="0" w:rightChars="0" w:hanging="425" w:firstLineChars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负责支付污水站运转的用电和用水费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5A3D8127">
      <w:pPr>
        <w:pStyle w:val="11"/>
        <w:numPr>
          <w:ilvl w:val="0"/>
          <w:numId w:val="1"/>
        </w:numPr>
        <w:shd w:val="clear" w:color="auto" w:fill="auto"/>
        <w:tabs>
          <w:tab w:val="left" w:pos="1243"/>
        </w:tabs>
        <w:spacing w:after="0" w:line="360" w:lineRule="auto"/>
        <w:ind w:left="1055" w:leftChars="0" w:right="0" w:rightChars="0" w:hanging="425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负责处置污泥和医疗废物，报批危险废物转移。</w:t>
      </w:r>
    </w:p>
    <w:p w14:paraId="7D8AD33D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2.成交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人：</w:t>
      </w:r>
    </w:p>
    <w:p w14:paraId="262359FB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制定服务方案，污水站突发事件应急处置方案；</w:t>
      </w:r>
    </w:p>
    <w:p w14:paraId="329AF1D4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派出至少一名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专业污水处理操作工，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有污废水处理操作员证，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每周到达</w:t>
      </w:r>
      <w:r>
        <w:rPr>
          <w:rFonts w:hint="eastAsia" w:ascii="仿宋" w:hAnsi="仿宋" w:eastAsia="仿宋" w:cs="仿宋"/>
          <w:sz w:val="32"/>
          <w:szCs w:val="32"/>
        </w:rPr>
        <w:t>医院现场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至少到场3次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，负责废水处理设施运行管理与日常操作，确保所排废水处理达标排放；</w:t>
      </w:r>
    </w:p>
    <w:p w14:paraId="19AA9D5C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）污水处理操作工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确保设施正常、平稳运行；</w:t>
      </w:r>
    </w:p>
    <w:p w14:paraId="12B59CF7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坚持文明生产，保持生产场地清洁卫生；</w:t>
      </w:r>
    </w:p>
    <w:p w14:paraId="19EAA91C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实施清洁生产，节约水、电和原材料资源，降低生产成本；</w:t>
      </w:r>
    </w:p>
    <w:p w14:paraId="2D23D021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进水水量、水质如有异常及时向采购人汇报，核实原因；</w:t>
      </w:r>
    </w:p>
    <w:p w14:paraId="7DB65C2C">
      <w:pPr>
        <w:pStyle w:val="11"/>
        <w:numPr>
          <w:numId w:val="0"/>
        </w:numPr>
        <w:shd w:val="clear" w:color="auto" w:fill="auto"/>
        <w:tabs>
          <w:tab w:val="left" w:pos="1243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负责协助环保部门的检查及其他工作。</w:t>
      </w:r>
    </w:p>
    <w:p w14:paraId="59298953">
      <w:pPr>
        <w:pStyle w:val="6"/>
        <w:shd w:val="clear" w:color="auto" w:fill="auto"/>
        <w:spacing w:before="43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）风险与约定</w:t>
      </w:r>
    </w:p>
    <w:p w14:paraId="7DBCCE59">
      <w:pPr>
        <w:pStyle w:val="6"/>
        <w:numPr>
          <w:ilvl w:val="0"/>
          <w:numId w:val="2"/>
        </w:numPr>
        <w:shd w:val="clear" w:color="auto" w:fill="auto"/>
        <w:spacing w:line="360" w:lineRule="auto"/>
        <w:ind w:left="0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由于不可抗拒的灾害，如地震、台风、洪水、火灾、战争等所造成的损失由采购人投保解决，成交人不承担责任。</w:t>
      </w:r>
    </w:p>
    <w:p w14:paraId="5F1DDAFD">
      <w:pPr>
        <w:pStyle w:val="11"/>
        <w:numPr>
          <w:ilvl w:val="0"/>
          <w:numId w:val="2"/>
        </w:numPr>
        <w:shd w:val="clear" w:color="auto" w:fill="auto"/>
        <w:tabs>
          <w:tab w:val="left" w:pos="928"/>
        </w:tabs>
        <w:spacing w:before="0" w:after="0" w:line="360" w:lineRule="auto"/>
        <w:ind w:left="0" w:leftChars="0" w:right="356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在正常条件下，采购人的原水水量、水质均在运营约定的范围内，由于管理不善或操作失当，造成出水超标，由此引起罚款由成交人负责。</w:t>
      </w:r>
    </w:p>
    <w:p w14:paraId="3A4BDBCB">
      <w:pPr>
        <w:pStyle w:val="11"/>
        <w:numPr>
          <w:ilvl w:val="0"/>
          <w:numId w:val="2"/>
        </w:numPr>
        <w:shd w:val="clear" w:color="auto" w:fill="auto"/>
        <w:tabs>
          <w:tab w:val="left" w:pos="928"/>
        </w:tabs>
        <w:spacing w:before="0" w:after="0" w:line="360" w:lineRule="auto"/>
        <w:ind w:left="0" w:leftChars="0" w:right="356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若废水量超过污水站处理能力或进水浓度超出设计进水浓度时，超过系统的处理能力导致操作不稳定，或出现出水水质不能达标，则应由采购人承担责任，但成交人需负责相关技术指导服务。</w:t>
      </w:r>
    </w:p>
    <w:p w14:paraId="0D5539B8">
      <w:pPr>
        <w:pStyle w:val="11"/>
        <w:numPr>
          <w:ilvl w:val="0"/>
          <w:numId w:val="2"/>
        </w:numPr>
        <w:shd w:val="clear" w:color="auto" w:fill="auto"/>
        <w:tabs>
          <w:tab w:val="left" w:pos="928"/>
        </w:tabs>
        <w:spacing w:before="0" w:after="0" w:line="360" w:lineRule="auto"/>
        <w:ind w:left="0" w:leftChars="0" w:right="356" w:rightChars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采购人若不能按时支付成交人的运营费用，成交人有权终止运营管理合同并追讨所欠运营费用的权利。</w:t>
      </w:r>
    </w:p>
    <w:p w14:paraId="64F4ADBD">
      <w:pPr>
        <w:pStyle w:val="2"/>
        <w:shd w:val="clear" w:color="auto" w:fill="auto"/>
        <w:spacing w:before="0" w:after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、项目商务要求</w:t>
      </w:r>
    </w:p>
    <w:p w14:paraId="11BFAF3A">
      <w:pPr>
        <w:pStyle w:val="6"/>
        <w:shd w:val="clear" w:color="auto" w:fill="auto"/>
        <w:spacing w:before="42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）服务要求</w:t>
      </w:r>
    </w:p>
    <w:p w14:paraId="595E427F">
      <w:pPr>
        <w:pStyle w:val="11"/>
        <w:numPr>
          <w:ilvl w:val="0"/>
          <w:numId w:val="3"/>
        </w:numPr>
        <w:shd w:val="clear" w:color="auto" w:fill="auto"/>
        <w:tabs>
          <w:tab w:val="left" w:pos="928"/>
        </w:tabs>
        <w:spacing w:before="43" w:after="0" w:line="360" w:lineRule="auto"/>
        <w:ind w:left="-60" w:leftChars="0" w:right="0" w:rightChars="0" w:firstLine="48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从事本项目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污水处理操作工</w:t>
      </w:r>
      <w:r>
        <w:rPr>
          <w:rFonts w:hint="eastAsia" w:ascii="仿宋" w:hAnsi="仿宋" w:eastAsia="仿宋" w:cs="仿宋"/>
          <w:sz w:val="32"/>
          <w:szCs w:val="32"/>
        </w:rPr>
        <w:t>日常作业时，应配置安全作业的工具和使用劳动保护产品。</w:t>
      </w:r>
    </w:p>
    <w:p w14:paraId="5D51B8A1">
      <w:pPr>
        <w:pStyle w:val="11"/>
        <w:numPr>
          <w:ilvl w:val="0"/>
          <w:numId w:val="3"/>
        </w:numPr>
        <w:shd w:val="clear" w:color="auto" w:fill="auto"/>
        <w:tabs>
          <w:tab w:val="left" w:pos="928"/>
        </w:tabs>
        <w:spacing w:before="43" w:after="0" w:line="360" w:lineRule="auto"/>
        <w:ind w:left="-60" w:leftChars="0" w:right="356" w:rightChars="0" w:firstLine="48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成交人接管污水处理站后，必须严格执行《中华人民共和国环境保护法》、《突发环境事件应急管理办法》及地方有关法律法规、标准，遵守现行颁布的环境管理规章制度及有关政策。</w:t>
      </w:r>
    </w:p>
    <w:p w14:paraId="1E8AC9E3">
      <w:pPr>
        <w:pStyle w:val="6"/>
        <w:numPr>
          <w:ilvl w:val="0"/>
          <w:numId w:val="0"/>
        </w:numPr>
        <w:shd w:val="clear" w:color="auto" w:fill="auto"/>
        <w:spacing w:before="35" w:line="360" w:lineRule="auto"/>
        <w:ind w:right="358" w:righ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成交人应按要求派遣专业的污水处理操作工，制定岗位生产和安全责任制度，具有成熟的质量控制及规章制度以及相应的安全和防护制度，保证污水处理站不间断运转，保证废水达到有关排放标准要求。对系统设备、设施运行中出现的故障进行及时维修维护，定期进行维护保养，定期清淤、清渣等。</w:t>
      </w:r>
    </w:p>
    <w:p w14:paraId="5D4032BA">
      <w:pPr>
        <w:pStyle w:val="11"/>
        <w:numPr>
          <w:ilvl w:val="0"/>
          <w:numId w:val="3"/>
        </w:numPr>
        <w:shd w:val="clear" w:color="auto" w:fill="auto"/>
        <w:tabs>
          <w:tab w:val="left" w:pos="928"/>
        </w:tabs>
        <w:spacing w:before="0" w:after="0" w:line="360" w:lineRule="auto"/>
        <w:ind w:left="-60" w:leftChars="0" w:right="356" w:rightChars="0" w:firstLine="48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成交人应建立日常工作记录台簿，将每日进行的一切工作活动记录在册，包括开泵、关泵、清渣、投加药剂、定期清理格栅、清洗在线监测仪探头、维修、交接班时间和工作内容等。</w:t>
      </w:r>
    </w:p>
    <w:p w14:paraId="38D7BFD3">
      <w:pPr>
        <w:pStyle w:val="11"/>
        <w:numPr>
          <w:ilvl w:val="0"/>
          <w:numId w:val="3"/>
        </w:numPr>
        <w:shd w:val="clear" w:color="auto" w:fill="auto"/>
        <w:tabs>
          <w:tab w:val="left" w:pos="928"/>
        </w:tabs>
        <w:spacing w:before="0" w:after="0" w:line="360" w:lineRule="auto"/>
        <w:ind w:left="-60" w:leftChars="0" w:right="0" w:rightChars="0" w:firstLine="48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服务期限到后，成交人应将所有资料无条件移交给采购人，且保证资料的真实与完整。</w:t>
      </w:r>
    </w:p>
    <w:p w14:paraId="6818EDFF">
      <w:pPr>
        <w:pStyle w:val="11"/>
        <w:numPr>
          <w:ilvl w:val="0"/>
          <w:numId w:val="3"/>
        </w:numPr>
        <w:shd w:val="clear" w:color="auto" w:fill="auto"/>
        <w:tabs>
          <w:tab w:val="left" w:pos="928"/>
        </w:tabs>
        <w:spacing w:before="42" w:after="0" w:line="360" w:lineRule="auto"/>
        <w:ind w:left="-60" w:leftChars="0" w:right="0" w:rightChars="0" w:firstLine="48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合同期限内，成交人需协助采购人办理排污相关手续及相关资料。</w:t>
      </w:r>
    </w:p>
    <w:p w14:paraId="3ACE54DA">
      <w:pPr>
        <w:pStyle w:val="6"/>
        <w:shd w:val="clear" w:color="auto" w:fill="auto"/>
        <w:spacing w:before="43"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）报价组成</w:t>
      </w:r>
    </w:p>
    <w:p w14:paraId="7AF7AF7D">
      <w:pPr>
        <w:pStyle w:val="6"/>
        <w:shd w:val="clear" w:color="auto" w:fill="auto"/>
        <w:spacing w:before="43" w:line="360" w:lineRule="auto"/>
        <w:ind w:right="607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1.管理费</w:t>
      </w:r>
    </w:p>
    <w:p w14:paraId="7A04BA5B">
      <w:pPr>
        <w:pStyle w:val="6"/>
        <w:shd w:val="clear" w:color="auto" w:fill="auto"/>
        <w:spacing w:line="360" w:lineRule="auto"/>
        <w:ind w:right="250" w:firstLine="616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</w:rPr>
        <w:t>管理费主要包括人工费、员工社保和意外保险费、设施维护费、菌种、交通通讯费、合理利润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  <w:highlight w:val="none"/>
        </w:rPr>
        <w:t>等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  <w:highlight w:val="none"/>
          <w:lang w:eastAsia="zh-CN"/>
        </w:rPr>
        <w:t>涉及维护该项目正常运营费用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  <w:highlight w:val="none"/>
          <w:lang w:eastAsia="zh-CN"/>
        </w:rPr>
        <w:t>且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  <w:highlight w:val="none"/>
        </w:rPr>
        <w:t>该费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</w:rPr>
        <w:t>用为每月固定的费用。</w:t>
      </w:r>
    </w:p>
    <w:p w14:paraId="25B34E54">
      <w:pPr>
        <w:pStyle w:val="11"/>
        <w:numPr>
          <w:numId w:val="0"/>
        </w:numPr>
        <w:shd w:val="clear" w:color="auto" w:fill="auto"/>
        <w:tabs>
          <w:tab w:val="left" w:pos="1243"/>
        </w:tabs>
        <w:spacing w:before="0" w:after="0" w:line="360" w:lineRule="auto"/>
        <w:ind w:right="358" w:rightChars="0" w:firstLine="620" w:firstLineChars="200"/>
        <w:jc w:val="both"/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）操作人工费：根据本污水站的规模及兼职运营模式，成交人将派出具备相应资质的兼职操作人员负责日常运维工作，每周按要求到场 3 次，完成污水站药剂投加、水质检测、设施巡检维护等核心工作；操作人员相关费用（含工资、社保、交通等）均由成交人自行承担。</w:t>
      </w:r>
    </w:p>
    <w:p w14:paraId="35E857D7">
      <w:pPr>
        <w:pStyle w:val="11"/>
        <w:numPr>
          <w:ilvl w:val="0"/>
          <w:numId w:val="0"/>
        </w:numPr>
        <w:shd w:val="clear" w:color="auto" w:fill="auto"/>
        <w:tabs>
          <w:tab w:val="left" w:pos="1243"/>
        </w:tabs>
        <w:spacing w:before="0" w:after="0" w:line="360" w:lineRule="auto"/>
        <w:ind w:right="358" w:rightChars="0" w:firstLine="620" w:firstLineChars="200"/>
        <w:jc w:val="both"/>
        <w:rPr>
          <w:rFonts w:hint="eastAsia" w:ascii="仿宋" w:hAnsi="仿宋" w:eastAsia="仿宋" w:cs="仿宋"/>
          <w:spacing w:val="-5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员工社保和意外保险费：成交人技术人员的社保和意外保险等费用。</w:t>
      </w:r>
    </w:p>
    <w:p w14:paraId="57D7E215">
      <w:pPr>
        <w:pStyle w:val="11"/>
        <w:numPr>
          <w:ilvl w:val="0"/>
          <w:numId w:val="0"/>
        </w:numPr>
        <w:shd w:val="clear" w:color="auto" w:fill="auto"/>
        <w:tabs>
          <w:tab w:val="left" w:pos="1243"/>
        </w:tabs>
        <w:spacing w:before="0" w:after="0" w:line="360" w:lineRule="auto"/>
        <w:ind w:right="358" w:rightChars="0" w:firstLine="620" w:firstLineChars="200"/>
        <w:jc w:val="both"/>
        <w:rPr>
          <w:rFonts w:hint="eastAsia" w:ascii="仿宋" w:hAnsi="仿宋" w:eastAsia="仿宋" w:cs="仿宋"/>
          <w:spacing w:val="-5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设施维护、生化营养费：污水处理站设施和设备的日常保养由成交人负责，但备用设备更换、零件更换、材料零件由采购人提供，成交人负责更换，500 元以内的配件更换由成交人负责。另外，为保证生化系统的处理效果，每半年补充投加菌种营养剂费用由成交人负责。</w:t>
      </w:r>
    </w:p>
    <w:p w14:paraId="6743AEDB">
      <w:pPr>
        <w:pStyle w:val="11"/>
        <w:numPr>
          <w:ilvl w:val="0"/>
          <w:numId w:val="0"/>
        </w:numPr>
        <w:shd w:val="clear" w:color="auto" w:fill="auto"/>
        <w:tabs>
          <w:tab w:val="left" w:pos="1243"/>
        </w:tabs>
        <w:spacing w:before="0" w:after="0" w:line="360" w:lineRule="auto"/>
        <w:ind w:right="358" w:rightChars="0" w:firstLine="640" w:firstLineChars="200"/>
        <w:jc w:val="both"/>
        <w:rPr>
          <w:rFonts w:hint="eastAsia" w:ascii="仿宋" w:hAnsi="仿宋" w:eastAsia="仿宋" w:cs="仿宋"/>
          <w:spacing w:val="-5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</w:t>
      </w:r>
      <w:r>
        <w:rPr>
          <w:rStyle w:val="10"/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药剂费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包含污水处理所需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药剂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消毒粉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、PAM、PAC、酸碱中和剂等化学药剂的采购、运输、储存、检测（药剂质量检测）、科学投放等全部相关费用；成交人需确保所采购药剂符合国家及行业标准，且满足污水处理工艺要求，药剂质量检测报告需作为日常运营资料留存。</w:t>
      </w:r>
    </w:p>
    <w:p w14:paraId="33D894E4">
      <w:pPr>
        <w:pStyle w:val="11"/>
        <w:numPr>
          <w:ilvl w:val="0"/>
          <w:numId w:val="0"/>
        </w:numPr>
        <w:shd w:val="clear" w:color="auto" w:fill="auto"/>
        <w:tabs>
          <w:tab w:val="left" w:pos="1243"/>
        </w:tabs>
        <w:spacing w:before="0" w:after="0" w:line="360" w:lineRule="auto"/>
        <w:ind w:right="358" w:rightChars="0" w:firstLine="620" w:firstLineChars="200"/>
        <w:jc w:val="both"/>
        <w:rPr>
          <w:rFonts w:hint="eastAsia" w:ascii="仿宋" w:hAnsi="仿宋" w:eastAsia="仿宋" w:cs="仿宋"/>
          <w:spacing w:val="-5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交通、通讯、日常现场办公等费：污水操作管理人员的出差、电话、日常办公等费用。</w:t>
      </w:r>
    </w:p>
    <w:p w14:paraId="38768198">
      <w:pPr>
        <w:pStyle w:val="11"/>
        <w:numPr>
          <w:ilvl w:val="0"/>
          <w:numId w:val="0"/>
        </w:numPr>
        <w:shd w:val="clear" w:color="auto" w:fill="auto"/>
        <w:tabs>
          <w:tab w:val="left" w:pos="1243"/>
        </w:tabs>
        <w:spacing w:before="0" w:after="0" w:line="360" w:lineRule="auto"/>
        <w:ind w:right="358" w:rightChars="0" w:firstLine="620" w:firstLineChars="200"/>
        <w:jc w:val="both"/>
        <w:rPr>
          <w:rFonts w:hint="eastAsia" w:ascii="仿宋" w:hAnsi="仿宋" w:eastAsia="仿宋" w:cs="仿宋"/>
          <w:spacing w:val="-5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利润和风险等费用：成交人管理污水站的合理利润，以及在污水站运行过程中，如由于管理疏忽或其他原因出现异常情况时可能出现的各种风险费。</w:t>
      </w:r>
    </w:p>
    <w:p w14:paraId="60BA9274">
      <w:pPr>
        <w:pStyle w:val="11"/>
        <w:numPr>
          <w:ilvl w:val="0"/>
          <w:numId w:val="0"/>
        </w:numPr>
        <w:shd w:val="clear" w:color="auto" w:fill="auto"/>
        <w:tabs>
          <w:tab w:val="left" w:pos="1243"/>
        </w:tabs>
        <w:spacing w:before="0" w:after="0" w:line="360" w:lineRule="auto"/>
        <w:ind w:right="358" w:rightChars="0" w:firstLine="620" w:firstLineChars="200"/>
        <w:jc w:val="both"/>
        <w:rPr>
          <w:rFonts w:hint="eastAsia" w:ascii="仿宋" w:hAnsi="仿宋" w:eastAsia="仿宋" w:cs="仿宋"/>
          <w:spacing w:val="-5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5"/>
          <w:sz w:val="32"/>
          <w:szCs w:val="32"/>
        </w:rPr>
        <w:t xml:space="preserve">管理费用为每月固定费用，无论生产是否正常，该费用在合同有效期内为每月固定费用。   </w:t>
      </w:r>
    </w:p>
    <w:p w14:paraId="664CCE31">
      <w:pPr>
        <w:pStyle w:val="6"/>
        <w:shd w:val="clear" w:color="auto" w:fill="auto"/>
        <w:spacing w:before="43" w:line="360" w:lineRule="auto"/>
        <w:ind w:right="607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2.检测</w:t>
      </w:r>
      <w:r>
        <w:rPr>
          <w:rFonts w:hint="eastAsia" w:ascii="仿宋" w:hAnsi="仿宋" w:eastAsia="仿宋" w:cs="仿宋"/>
          <w:sz w:val="32"/>
          <w:szCs w:val="32"/>
        </w:rPr>
        <w:t>费</w:t>
      </w:r>
    </w:p>
    <w:p w14:paraId="3B2F9303">
      <w:pPr>
        <w:pStyle w:val="11"/>
        <w:numPr>
          <w:ilvl w:val="0"/>
          <w:numId w:val="4"/>
        </w:numPr>
        <w:shd w:val="clear" w:color="auto" w:fill="auto"/>
        <w:tabs>
          <w:tab w:val="left" w:pos="1243"/>
        </w:tabs>
        <w:spacing w:before="0" w:after="0" w:line="360" w:lineRule="auto"/>
        <w:ind w:left="170" w:leftChars="0" w:right="358" w:rightChars="0" w:firstLine="460" w:firstLineChars="0"/>
        <w:jc w:val="both"/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污水处理站的消毒药剂投放与管理。</w:t>
      </w:r>
    </w:p>
    <w:p w14:paraId="28FB9137">
      <w:pPr>
        <w:pStyle w:val="11"/>
        <w:numPr>
          <w:ilvl w:val="0"/>
          <w:numId w:val="4"/>
        </w:numPr>
        <w:shd w:val="clear" w:color="auto" w:fill="auto"/>
        <w:tabs>
          <w:tab w:val="left" w:pos="1243"/>
        </w:tabs>
        <w:spacing w:before="0" w:after="0" w:line="360" w:lineRule="auto"/>
        <w:ind w:left="170" w:leftChars="0" w:right="358" w:rightChars="0" w:firstLine="46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须要协助采购人做污水检测、采样工作（含药剂使用后的水质效果检测配合工作）。</w:t>
      </w:r>
    </w:p>
    <w:p w14:paraId="0B78022C">
      <w:pPr>
        <w:pStyle w:val="6"/>
        <w:numPr>
          <w:ilvl w:val="0"/>
          <w:numId w:val="0"/>
        </w:numPr>
        <w:shd w:val="clear" w:color="auto" w:fill="auto"/>
        <w:spacing w:line="360" w:lineRule="auto"/>
        <w:ind w:left="0" w:leftChars="0" w:right="0" w:rightChars="0"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采购项目交付或者实施的时间和地点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0ACA11D">
      <w:pPr>
        <w:pStyle w:val="6"/>
        <w:numPr>
          <w:numId w:val="0"/>
        </w:numPr>
        <w:shd w:val="clear" w:color="auto" w:fill="auto"/>
        <w:spacing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交付或实施的时间：自合同签订之日起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12个月</w:t>
      </w:r>
    </w:p>
    <w:p w14:paraId="4F5E71C0">
      <w:pPr>
        <w:pStyle w:val="6"/>
        <w:numPr>
          <w:numId w:val="0"/>
        </w:numPr>
        <w:shd w:val="clear" w:color="auto" w:fill="auto"/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交付或实施的地点：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惠州市惠城区中医医院</w:t>
      </w:r>
    </w:p>
    <w:p w14:paraId="49D57AF8">
      <w:pPr>
        <w:pStyle w:val="6"/>
        <w:shd w:val="clear" w:color="auto" w:fill="auto"/>
        <w:spacing w:before="43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）验收标准：</w:t>
      </w:r>
    </w:p>
    <w:p w14:paraId="2C73475A">
      <w:pPr>
        <w:pStyle w:val="11"/>
        <w:numPr>
          <w:ilvl w:val="0"/>
          <w:numId w:val="0"/>
        </w:numPr>
        <w:shd w:val="clear" w:color="auto" w:fill="auto"/>
        <w:tabs>
          <w:tab w:val="left" w:pos="928"/>
        </w:tabs>
        <w:spacing w:after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日常运营资料均需齐全。</w:t>
      </w:r>
    </w:p>
    <w:p w14:paraId="65714A53">
      <w:pPr>
        <w:pStyle w:val="6"/>
        <w:shd w:val="clear" w:color="auto" w:fill="auto"/>
        <w:spacing w:before="42"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）售后服务要求</w:t>
      </w:r>
    </w:p>
    <w:p w14:paraId="7EFF039E">
      <w:pPr>
        <w:pStyle w:val="6"/>
        <w:shd w:val="clear" w:color="auto" w:fill="auto"/>
        <w:spacing w:before="43"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对于电话方式无法解决的问题，成交供应商需在 2 小时内派技术员到现场维护。</w:t>
      </w:r>
    </w:p>
    <w:p w14:paraId="42433C68">
      <w:pPr>
        <w:pStyle w:val="6"/>
        <w:numPr>
          <w:ilvl w:val="0"/>
          <w:numId w:val="0"/>
        </w:numPr>
        <w:shd w:val="clear" w:color="auto" w:fill="auto"/>
        <w:spacing w:line="360" w:lineRule="auto"/>
        <w:ind w:right="0" w:righ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（六）</w:t>
      </w:r>
      <w:r>
        <w:rPr>
          <w:rFonts w:hint="eastAsia" w:ascii="仿宋" w:hAnsi="仿宋" w:eastAsia="仿宋" w:cs="仿宋"/>
          <w:sz w:val="32"/>
          <w:szCs w:val="32"/>
        </w:rPr>
        <w:t>付款及结算方式</w:t>
      </w:r>
    </w:p>
    <w:p w14:paraId="41018A42">
      <w:pPr>
        <w:numPr>
          <w:ilvl w:val="0"/>
          <w:numId w:val="0"/>
        </w:numPr>
        <w:shd w:val="clear" w:color="auto" w:fill="auto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签约时另行约定。</w:t>
      </w:r>
    </w:p>
    <w:sectPr>
      <w:pgSz w:w="11906" w:h="16838"/>
      <w:pgMar w:top="1417" w:right="1417" w:bottom="1417" w:left="1417" w:header="851" w:footer="992" w:gutter="0"/>
      <w:paperSrc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BE076"/>
    <w:multiLevelType w:val="singleLevel"/>
    <w:tmpl w:val="12ABE076"/>
    <w:lvl w:ilvl="0" w:tentative="0">
      <w:start w:val="1"/>
      <w:numFmt w:val="decimal"/>
      <w:suff w:val="nothing"/>
      <w:lvlText w:val="（%1）"/>
      <w:lvlJc w:val="left"/>
      <w:pPr>
        <w:ind w:left="170"/>
      </w:pPr>
    </w:lvl>
  </w:abstractNum>
  <w:abstractNum w:abstractNumId="1">
    <w:nsid w:val="34E8968C"/>
    <w:multiLevelType w:val="singleLevel"/>
    <w:tmpl w:val="34E896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6F49321C"/>
    <w:multiLevelType w:val="singleLevel"/>
    <w:tmpl w:val="6F49321C"/>
    <w:lvl w:ilvl="0" w:tentative="0">
      <w:start w:val="1"/>
      <w:numFmt w:val="decimal"/>
      <w:lvlText w:val="(%1)"/>
      <w:lvlJc w:val="left"/>
      <w:pPr>
        <w:ind w:left="1055" w:hanging="425"/>
      </w:pPr>
      <w:rPr>
        <w:rFonts w:hint="default"/>
      </w:rPr>
    </w:lvl>
  </w:abstractNum>
  <w:abstractNum w:abstractNumId="3">
    <w:nsid w:val="7C766979"/>
    <w:multiLevelType w:val="singleLevel"/>
    <w:tmpl w:val="7C766979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E6162"/>
    <w:rsid w:val="08147F6D"/>
    <w:rsid w:val="0E21353B"/>
    <w:rsid w:val="0F9B4709"/>
    <w:rsid w:val="102E15DF"/>
    <w:rsid w:val="127D1A4E"/>
    <w:rsid w:val="17D86F39"/>
    <w:rsid w:val="19C534A6"/>
    <w:rsid w:val="1A8C14EE"/>
    <w:rsid w:val="1B280947"/>
    <w:rsid w:val="1B403E2A"/>
    <w:rsid w:val="234A7A9B"/>
    <w:rsid w:val="25BD151C"/>
    <w:rsid w:val="27544038"/>
    <w:rsid w:val="289E0FD5"/>
    <w:rsid w:val="2A005E7B"/>
    <w:rsid w:val="2E0B2F02"/>
    <w:rsid w:val="3A767FBD"/>
    <w:rsid w:val="3FC41ECB"/>
    <w:rsid w:val="412B15D8"/>
    <w:rsid w:val="43BE02A9"/>
    <w:rsid w:val="44841947"/>
    <w:rsid w:val="44C7643B"/>
    <w:rsid w:val="4B490FD8"/>
    <w:rsid w:val="4F13704C"/>
    <w:rsid w:val="52DB2716"/>
    <w:rsid w:val="53F37921"/>
    <w:rsid w:val="55DD7B3F"/>
    <w:rsid w:val="56676F5B"/>
    <w:rsid w:val="576E749C"/>
    <w:rsid w:val="5C7635B2"/>
    <w:rsid w:val="5F6A7CDA"/>
    <w:rsid w:val="636B7748"/>
    <w:rsid w:val="65EA341A"/>
    <w:rsid w:val="6A9C4A9F"/>
    <w:rsid w:val="711133DD"/>
    <w:rsid w:val="766F640E"/>
    <w:rsid w:val="7BF70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340" w:after="330" w:line="360" w:lineRule="auto"/>
      <w:jc w:val="center"/>
      <w:outlineLvl w:val="0"/>
    </w:pPr>
    <w:rPr>
      <w:rFonts w:eastAsia="黑体"/>
      <w:kern w:val="44"/>
      <w:szCs w:val="44"/>
    </w:rPr>
  </w:style>
  <w:style w:type="paragraph" w:styleId="3">
    <w:name w:val="heading 2"/>
    <w:basedOn w:val="4"/>
    <w:next w:val="1"/>
    <w:qFormat/>
    <w:uiPriority w:val="0"/>
    <w:pPr>
      <w:adjustRightInd w:val="0"/>
      <w:jc w:val="center"/>
      <w:textAlignment w:val="baseline"/>
      <w:outlineLvl w:val="1"/>
    </w:pPr>
    <w:rPr>
      <w:bCs w:val="0"/>
      <w:kern w:val="0"/>
      <w:sz w:val="24"/>
      <w:szCs w:val="20"/>
    </w:rPr>
  </w:style>
  <w:style w:type="paragraph" w:styleId="4">
    <w:name w:val="heading 3"/>
    <w:basedOn w:val="5"/>
    <w:next w:val="1"/>
    <w:qFormat/>
    <w:uiPriority w:val="0"/>
    <w:pPr>
      <w:spacing w:before="260" w:after="260" w:line="240" w:lineRule="auto"/>
      <w:outlineLvl w:val="2"/>
    </w:pPr>
    <w:rPr>
      <w:rFonts w:ascii="宋体" w:hAnsi="宋体" w:eastAsia="宋体" w:cs="Times New Roman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line="360" w:lineRule="auto"/>
    </w:pPr>
    <w:rPr>
      <w:b/>
      <w:bCs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styleId="11">
    <w:name w:val="List Paragraph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paragraph" w:customStyle="1" w:styleId="13">
    <w:name w:val="Table Paragraph"/>
    <w:basedOn w:val="1"/>
    <w:qFormat/>
    <w:uiPriority w:val="1"/>
    <w:pPr>
      <w:spacing w:before="20"/>
      <w:ind w:left="108"/>
    </w:pPr>
    <w:rPr>
      <w:rFonts w:ascii="宋体" w:hAnsi="宋体" w:eastAsia="宋体" w:cs="宋体"/>
      <w:lang w:val="zh-CN" w:eastAsia="zh-CN" w:bidi="zh-CN"/>
    </w:rPr>
  </w:style>
  <w:style w:type="table" w:customStyle="1" w:styleId="14">
    <w:name w:val="Table Normal"/>
    <w:unhideWhenUsed/>
    <w:qFormat/>
    <w:uiPriority w:val="0"/>
    <w:tblPr>
      <w:tblStyle w:val="7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2963</Words>
  <Characters>3112</Characters>
  <Lines>0</Lines>
  <Paragraphs>0</Paragraphs>
  <TotalTime>36</TotalTime>
  <ScaleCrop>false</ScaleCrop>
  <LinksUpToDate>false</LinksUpToDate>
  <CharactersWithSpaces>3133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2026-01-13T07:51:50Z</dcterms:created>
  <dc:creator>Administrator</dc:creator>
  <cp:lastModifiedBy>不够成熟</cp:lastModifiedBy>
  <dcterms:modified xsi:type="dcterms:W3CDTF">2026-01-22T03:09:55Z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eyJoZGlkIjoiMTVjNzI3NDk1Nzg5YmMyNDhhMmZmNDJjYmQ3NjQ3M2EiLCJ1c2VySWQiOiIyNTU0MzI1NTkifQ==</vt:lpwstr>
  </property>
  <property fmtid="{D5CDD505-2E9C-101B-9397-08002B2CF9AE}" pid="4" name="ICV">
    <vt:lpwstr>D82410C9D0C14269B5FFA5B9414AC733_13</vt:lpwstr>
  </property>
</Properties>
</file>